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CB1" w:rsidRDefault="005552B5">
      <w:pPr>
        <w:pStyle w:val="BodyText"/>
        <w:spacing w:before="6"/>
        <w:jc w:val="right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Ver.1 dat. </w:t>
      </w:r>
      <w:r w:rsidR="00D858CF">
        <w:rPr>
          <w:rFonts w:ascii="SansationUN" w:hAnsi="SansationUN" w:cs="Arial"/>
          <w:sz w:val="22"/>
          <w:szCs w:val="22"/>
        </w:rPr>
        <w:t>21.8</w:t>
      </w:r>
      <w:bookmarkStart w:id="0" w:name="_GoBack"/>
      <w:bookmarkEnd w:id="0"/>
      <w:r>
        <w:rPr>
          <w:rFonts w:ascii="SansationUN" w:hAnsi="SansationUN" w:cs="Arial"/>
          <w:sz w:val="22"/>
          <w:szCs w:val="22"/>
        </w:rPr>
        <w:t>.2022</w:t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 xml:space="preserve">Příloha č. 1d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Přístupu k datovému toku (Bitstream). Technická specifikace a specifikace služby</w:t>
      </w:r>
    </w:p>
    <w:p w:rsidR="00ED3CB1" w:rsidRDefault="00ED3CB1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 xml:space="preserve">Číslo Služby :        </w:t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Obec (oblast)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Jméno partnera :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t xml:space="preserve">ID: Partnera :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      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..….……………………….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žádosti: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šetření: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implementace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zprovoznění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testovacího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</w:t>
      </w:r>
      <w:r>
        <w:rPr>
          <w:rFonts w:ascii="SansationUN" w:hAnsi="SansationUN" w:cs="Arial"/>
          <w:sz w:val="22"/>
          <w:szCs w:val="22"/>
        </w:rPr>
        <w:t>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zakončení testovacího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předání Služby Partnerovi: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….…………………………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ukončení Služby:                                             …………………………….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 </w:t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I</w:t>
      </w:r>
    </w:p>
    <w:p w:rsidR="00ED3CB1" w:rsidRDefault="005552B5">
      <w:pPr>
        <w:tabs>
          <w:tab w:val="left" w:pos="284"/>
        </w:tabs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Přístup k Službě datového toku (Bitstream)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</w:p>
    <w:p w:rsidR="00ED3CB1" w:rsidRDefault="00D858CF">
      <w:pPr>
        <w:tabs>
          <w:tab w:val="left" w:pos="284"/>
        </w:tabs>
        <w:ind w:right="613"/>
        <w:jc w:val="both"/>
      </w:pPr>
      <w:r>
        <w:rPr>
          <w:rStyle w:val="ListParagraphChar"/>
          <w:rFonts w:ascii="SansationUN" w:hAnsi="SansationUN" w:cs="Arial"/>
          <w:sz w:val="22"/>
          <w:szCs w:val="22"/>
        </w:rPr>
        <w:t>TeamCity</w:t>
      </w:r>
      <w:r w:rsidR="005552B5">
        <w:rPr>
          <w:rStyle w:val="ListParagraphChar"/>
          <w:rFonts w:ascii="SansationUN" w:hAnsi="SansationUN" w:cs="Arial"/>
          <w:sz w:val="22"/>
          <w:szCs w:val="22"/>
        </w:rPr>
        <w:t xml:space="preserve"> </w:t>
      </w:r>
      <w:r w:rsidR="005552B5">
        <w:rPr>
          <w:rStyle w:val="gmail-notranslate"/>
          <w:rFonts w:ascii="SansationUN" w:hAnsi="SansationUN" w:cs="Arial"/>
          <w:sz w:val="22"/>
          <w:szCs w:val="22"/>
        </w:rPr>
        <w:t xml:space="preserve">(dále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5552B5">
        <w:rPr>
          <w:rStyle w:val="gmail-notranslate"/>
          <w:rFonts w:ascii="SansationUN" w:hAnsi="SansationUN" w:cs="Arial"/>
          <w:sz w:val="22"/>
          <w:szCs w:val="22"/>
        </w:rPr>
        <w:t>)  prohlašuje, že je vlastníkem nebo oprávněným uživatelem účastnického vedení tvořících trasy, na kterých si Partner pronajímá Službu v rámci Smlouvy, a která je specifikována v této Příloze.</w:t>
      </w:r>
    </w:p>
    <w:p w:rsidR="00ED3CB1" w:rsidRDefault="005552B5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  <w:t xml:space="preserve">Předmětem přístupu k datovému toku (dále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jen „Bitstream“) ze strany </w:t>
      </w:r>
      <w:r w:rsidR="00D858CF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je poskytnutí velkoobchodní služby připojení v koncovém bodě a velkoobchodní služby přístupu ke službám elektronických komunikací a s nimi související doplňkové služby Partnerovi. Součástí nabídky Bitstream může být také umíst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ění zařízení Partnera v prostorách </w:t>
      </w:r>
      <w:r w:rsidR="00D858CF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(kolokace)</w:t>
      </w:r>
    </w:p>
    <w:p w:rsidR="00ED3CB1" w:rsidRDefault="005552B5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Přístup na úrovni Bitstream ve sdružovacím přístupovém bodě umožní Partnerovi využití přístupových sítí </w:t>
      </w:r>
      <w:r w:rsidR="00D858CF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v geografické oblasti, ve které jsou přístupové sítě sdruženy. Přístup k datovému toku je ohraničen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síťovým rozhraním v místě sdružovacího bodu a koncovým bodem sítě s definovaným rozhraním v prostorech zákazníka. Přístup je poskytován na úrovni Ethernet bez řízené agregace. Rozhraním v prostorech zákazníka je v odpovědnosti </w:t>
      </w:r>
      <w:r w:rsidR="00D858CF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. Zpravidla se jedná o  eth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ernetový port nebo takové rozhraní, které umožní připojit takové volně dostupné koncové zařízení splňující definovanou technickou specifikaci pro dané rozhraní bez dalších dodatečných </w:t>
      </w:r>
      <w:r>
        <w:rPr>
          <w:rStyle w:val="gmail-notranslate"/>
          <w:rFonts w:ascii="SansationUN" w:hAnsi="SansationUN" w:cs="Arial"/>
          <w:sz w:val="22"/>
          <w:szCs w:val="22"/>
        </w:rPr>
        <w:lastRenderedPageBreak/>
        <w:t>požadavků na specifickou konfiguraci síťových parametrů pro poskytnutí s</w:t>
      </w:r>
      <w:r>
        <w:rPr>
          <w:rStyle w:val="gmail-notranslate"/>
          <w:rFonts w:ascii="SansationUN" w:hAnsi="SansationUN" w:cs="Arial"/>
          <w:sz w:val="22"/>
          <w:szCs w:val="22"/>
        </w:rPr>
        <w:t>lužby Partnera o přístup. Informace o použitém rozhraní je uvedeno v Článku VIII této přílohy.</w:t>
      </w:r>
    </w:p>
    <w:p w:rsidR="00ED3CB1" w:rsidRDefault="005552B5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/>
        </w:rPr>
        <w:br/>
      </w:r>
      <w:r>
        <w:rPr>
          <w:rStyle w:val="gmail-notranslate"/>
          <w:rFonts w:ascii="SansationUN" w:hAnsi="SansationUN" w:cs="Arial"/>
          <w:b/>
          <w:sz w:val="22"/>
          <w:szCs w:val="22"/>
        </w:rPr>
        <w:t>Článek II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  <w:t xml:space="preserve">Přístup k Službě Bitstream 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</w:r>
    </w:p>
    <w:p w:rsidR="00ED3CB1" w:rsidRDefault="005552B5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>Přístup je realizován v bodech k tomu určených (např. Central Office, POP, rozvaděče,) s ohledem na strukturu sítě tak,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aby nedocházelo k jejímu znehodnocení pro budoucí využití.  Seznam přístupových bodů  pro Službu uvedenou v této příloze je uvedený v Článku VIII a  Příloze 10 - Síťová hierarchie, Orientační schéma, seznam obcí, úseků.</w:t>
      </w:r>
    </w:p>
    <w:p w:rsidR="00ED3CB1" w:rsidRDefault="00ED3CB1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III</w:t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Fonts w:ascii="SansationUN" w:hAnsi="SansationUN" w:cs="Arial"/>
          <w:b/>
          <w:sz w:val="22"/>
          <w:szCs w:val="22"/>
        </w:rPr>
        <w:t>Převzetí Služby Bitstre</w:t>
      </w:r>
      <w:r>
        <w:rPr>
          <w:rFonts w:ascii="SansationUN" w:hAnsi="SansationUN" w:cs="Arial"/>
          <w:b/>
          <w:sz w:val="22"/>
          <w:szCs w:val="22"/>
        </w:rPr>
        <w:t xml:space="preserve">am 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</w:r>
    </w:p>
    <w:p w:rsidR="00ED3CB1" w:rsidRDefault="005552B5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Partner se zavazuje, že ve lhůtách stanovených Smlouvou a touto přílohou  převezme nakonfigurovanou službu Bitstream a to nejpozději do 5ti pracovních dní od ukončení úspěšného testovacího provozu. Podpisem této přílohy Partner potvrzuje </w:t>
      </w:r>
      <w:r w:rsidR="00D858CF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, že Službu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převzal</w:t>
      </w:r>
      <w:r>
        <w:rPr>
          <w:rFonts w:ascii="SansationUN" w:hAnsi="SansationUN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v řádném provozuschopném stavu a bez závad. </w:t>
      </w:r>
    </w:p>
    <w:p w:rsidR="00ED3CB1" w:rsidRDefault="005552B5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br/>
      </w:r>
      <w:r>
        <w:rPr>
          <w:rFonts w:ascii="SansationUN" w:hAnsi="SansationUN" w:cs="Arial"/>
          <w:b/>
          <w:sz w:val="22"/>
          <w:szCs w:val="22"/>
        </w:rPr>
        <w:br/>
        <w:t>Článek IV</w:t>
      </w:r>
      <w:r>
        <w:rPr>
          <w:rFonts w:ascii="SansationUN" w:hAnsi="SansationUN" w:cs="Arial"/>
          <w:b/>
          <w:sz w:val="22"/>
          <w:szCs w:val="22"/>
        </w:rPr>
        <w:br/>
        <w:t>Užívání Služby Bitstream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ED3CB1" w:rsidRDefault="005552B5">
      <w:pPr>
        <w:widowControl w:val="0"/>
        <w:tabs>
          <w:tab w:val="left" w:pos="254"/>
        </w:tabs>
        <w:spacing w:before="63" w:line="307" w:lineRule="auto"/>
        <w:ind w:right="227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Partner Službu Bitsream nebo jeho úsek užívat pouze pro účely související s jeho obchodní činností v souladu s uzavřenou  Smlouvou.</w:t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V</w:t>
      </w:r>
      <w:r>
        <w:rPr>
          <w:rFonts w:ascii="SansationUN" w:hAnsi="SansationUN" w:cs="Arial"/>
          <w:b/>
          <w:sz w:val="22"/>
          <w:szCs w:val="22"/>
        </w:rPr>
        <w:br/>
        <w:t>Ostatní závazky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ED3CB1" w:rsidRDefault="00D858CF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jc w:val="both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5552B5">
        <w:rPr>
          <w:rFonts w:ascii="SansationUN" w:hAnsi="SansationUN" w:cs="Arial"/>
          <w:sz w:val="22"/>
          <w:szCs w:val="22"/>
        </w:rPr>
        <w:t xml:space="preserve"> s</w:t>
      </w:r>
      <w:r w:rsidR="005552B5">
        <w:rPr>
          <w:rFonts w:ascii="SansationUN" w:hAnsi="SansationUN" w:cs="Arial"/>
          <w:sz w:val="22"/>
          <w:szCs w:val="22"/>
        </w:rPr>
        <w:t xml:space="preserve">e zavazuje, že pokud to bude možné, poskytne Partnerovi v přiměřeném rozsahu Službu Bitstream , na nedotované infrastruktuře, nejméně však z dotované oblasti do prvního hierarchického bodu infrastruktury  (např. Central office anebo PoP). </w:t>
      </w:r>
      <w:r w:rsidR="005552B5">
        <w:rPr>
          <w:rFonts w:ascii="SansationUN" w:hAnsi="SansationUN" w:cs="Arial"/>
          <w:sz w:val="22"/>
          <w:szCs w:val="22"/>
        </w:rPr>
        <w:br/>
      </w:r>
    </w:p>
    <w:p w:rsidR="00ED3CB1" w:rsidRDefault="00D858CF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jc w:val="both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5552B5">
        <w:rPr>
          <w:rFonts w:ascii="SansationUN" w:hAnsi="SansationUN" w:cs="Arial"/>
          <w:sz w:val="22"/>
          <w:szCs w:val="22"/>
        </w:rPr>
        <w:t xml:space="preserve"> se zavazuje,</w:t>
      </w:r>
      <w:r w:rsidR="005552B5">
        <w:rPr>
          <w:rFonts w:ascii="SansationUN" w:hAnsi="SansationUN" w:cs="Arial"/>
          <w:sz w:val="22"/>
          <w:szCs w:val="22"/>
        </w:rPr>
        <w:t xml:space="preserve"> v případě věží a stožárů zřízených s využitím poskytnuté dotace  umístit svá zařízení (přijímače, vysílače , antény a další infrastrukturu)   efektivně s ohledem na potřebu poskytnutí možnosti využití další plochy k pronájmu zařízení Partnera a nebude umí</w:t>
      </w:r>
      <w:r w:rsidR="005552B5">
        <w:rPr>
          <w:rFonts w:ascii="SansationUN" w:hAnsi="SansationUN" w:cs="Arial"/>
          <w:sz w:val="22"/>
          <w:szCs w:val="22"/>
        </w:rPr>
        <w:t>stění zařízení Partnerm účelově bránit.</w:t>
      </w:r>
    </w:p>
    <w:p w:rsidR="00ED3CB1" w:rsidRDefault="00ED3CB1">
      <w:pPr>
        <w:pStyle w:val="ListParagraph"/>
        <w:tabs>
          <w:tab w:val="left" w:pos="284"/>
        </w:tabs>
        <w:ind w:left="360" w:right="613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pStyle w:val="ListParagraph"/>
        <w:numPr>
          <w:ilvl w:val="0"/>
          <w:numId w:val="2"/>
        </w:numPr>
        <w:ind w:right="613"/>
        <w:jc w:val="both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Pokud to technologie umožňuje, </w:t>
      </w:r>
      <w:r w:rsidR="00D858CF">
        <w:rPr>
          <w:rFonts w:ascii="SansationUN" w:hAnsi="SansationUN" w:cs="Arial"/>
          <w:sz w:val="22"/>
          <w:szCs w:val="22"/>
        </w:rPr>
        <w:t>TC</w:t>
      </w:r>
      <w:r>
        <w:rPr>
          <w:rFonts w:ascii="SansationUN" w:hAnsi="SansationUN" w:cs="Arial"/>
          <w:sz w:val="22"/>
          <w:szCs w:val="22"/>
        </w:rPr>
        <w:t xml:space="preserve"> ze zavazuje nad rámec základní služby Bitstream, která je poskytována prostřednictvím jedné VLAN s best effort úrovní kvality služby nabídnout i doplňkovou službu vytvoření jedné da</w:t>
      </w:r>
      <w:r>
        <w:rPr>
          <w:rFonts w:ascii="SansationUN" w:hAnsi="SansationUN" w:cs="Arial"/>
          <w:sz w:val="22"/>
          <w:szCs w:val="22"/>
        </w:rPr>
        <w:t>lší VLAN s možností volby QoS mezi best effort a zvýšenou úrovní kvality služby. VLAN jsou poskytovány mezi koncovým bodem sítě a předávacím rozhraním sítě, pro jednotlivé koncové uživatele.</w:t>
      </w:r>
    </w:p>
    <w:p w:rsidR="00ED3CB1" w:rsidRDefault="00ED3CB1">
      <w:pPr>
        <w:pStyle w:val="ListParagraph"/>
        <w:ind w:left="360" w:right="613"/>
        <w:rPr>
          <w:rFonts w:ascii="SansationUN" w:hAnsi="SansationUN" w:cs="Arial"/>
          <w:sz w:val="22"/>
          <w:szCs w:val="22"/>
        </w:rPr>
      </w:pPr>
    </w:p>
    <w:p w:rsidR="00ED3CB1" w:rsidRDefault="00D858CF">
      <w:pPr>
        <w:pStyle w:val="ListParagraph"/>
        <w:numPr>
          <w:ilvl w:val="0"/>
          <w:numId w:val="2"/>
        </w:numPr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5552B5">
        <w:rPr>
          <w:rFonts w:ascii="SansationUN" w:hAnsi="SansationUN" w:cs="Arial"/>
          <w:sz w:val="22"/>
          <w:szCs w:val="22"/>
        </w:rPr>
        <w:t xml:space="preserve"> se zavazuje umožnit Partnerovi, pro využití Služby Bitstream </w:t>
      </w:r>
      <w:r w:rsidR="005552B5">
        <w:rPr>
          <w:rFonts w:ascii="SansationUN" w:hAnsi="SansationUN" w:cs="Arial"/>
          <w:sz w:val="22"/>
          <w:szCs w:val="22"/>
        </w:rPr>
        <w:t xml:space="preserve"> v nezbytném rozsahu rovněž související službu kolokace.</w:t>
      </w:r>
    </w:p>
    <w:p w:rsidR="00ED3CB1" w:rsidRDefault="00ED3CB1">
      <w:pPr>
        <w:tabs>
          <w:tab w:val="left" w:pos="284"/>
        </w:tabs>
        <w:ind w:right="613"/>
        <w:rPr>
          <w:rFonts w:ascii="SansationUN" w:hAnsi="SansationUN"/>
        </w:rPr>
      </w:pPr>
    </w:p>
    <w:p w:rsidR="00ED3CB1" w:rsidRDefault="00ED3CB1">
      <w:pPr>
        <w:pStyle w:val="ListParagraph"/>
        <w:widowControl w:val="0"/>
        <w:spacing w:before="63" w:line="307" w:lineRule="auto"/>
        <w:ind w:left="360" w:right="227"/>
        <w:contextualSpacing w:val="0"/>
        <w:rPr>
          <w:rFonts w:ascii="SansationUN" w:hAnsi="SansationUN" w:cs="Arial"/>
          <w:sz w:val="22"/>
          <w:szCs w:val="22"/>
        </w:rPr>
      </w:pPr>
    </w:p>
    <w:p w:rsidR="00ED3CB1" w:rsidRDefault="00ED3CB1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</w:t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 xml:space="preserve">Údržba Služby Bitstream </w:t>
      </w:r>
    </w:p>
    <w:p w:rsidR="00ED3CB1" w:rsidRDefault="00ED3CB1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ED3CB1" w:rsidRDefault="00D858CF">
      <w:pPr>
        <w:pStyle w:val="ListParagraph"/>
        <w:numPr>
          <w:ilvl w:val="0"/>
          <w:numId w:val="3"/>
        </w:numPr>
        <w:ind w:right="613"/>
        <w:rPr>
          <w:rFonts w:ascii="SansationUN" w:hAnsi="SansationUN"/>
        </w:rPr>
      </w:pPr>
      <w:r>
        <w:rPr>
          <w:rFonts w:ascii="SansationUN" w:hAnsi="SansationUN"/>
        </w:rPr>
        <w:t>TC</w:t>
      </w:r>
      <w:r w:rsidR="005552B5">
        <w:rPr>
          <w:rFonts w:ascii="SansationUN" w:hAnsi="SansationUN"/>
        </w:rPr>
        <w:t xml:space="preserve"> bude od předání Služby Bitstream provádět na vlastní náklady údržbu tak, aby Služba Bitstream  po celou dobu užívání byla plně funkční a odpovídala </w:t>
      </w:r>
      <w:r w:rsidR="005552B5">
        <w:rPr>
          <w:rFonts w:ascii="SansationUN" w:hAnsi="SansationUN"/>
        </w:rPr>
        <w:t>Specifikacím.</w:t>
      </w:r>
    </w:p>
    <w:p w:rsidR="00ED3CB1" w:rsidRDefault="00ED3CB1">
      <w:pPr>
        <w:pStyle w:val="ListParagraph"/>
        <w:ind w:left="360" w:right="613"/>
        <w:rPr>
          <w:rFonts w:ascii="SansationUN" w:hAnsi="SansationUN"/>
        </w:rPr>
      </w:pPr>
    </w:p>
    <w:p w:rsidR="00ED3CB1" w:rsidRDefault="00D858CF">
      <w:pPr>
        <w:pStyle w:val="ListParagraph"/>
        <w:numPr>
          <w:ilvl w:val="0"/>
          <w:numId w:val="3"/>
        </w:numPr>
        <w:ind w:right="613"/>
        <w:rPr>
          <w:rFonts w:ascii="SansationUN" w:hAnsi="SansationUN"/>
        </w:rPr>
      </w:pPr>
      <w:r>
        <w:rPr>
          <w:rFonts w:ascii="SansationUN" w:hAnsi="SansationUN"/>
        </w:rPr>
        <w:t>TC</w:t>
      </w:r>
      <w:r w:rsidR="005552B5">
        <w:rPr>
          <w:rFonts w:ascii="SansationUN" w:hAnsi="SansationUN"/>
        </w:rPr>
        <w:t xml:space="preserve"> se zavazuje udržovat dotovanou síť ve stavu umožňujícím nepřetržitý provoz. Servisní zásahy se řídí Smlouvou a přílohou </w:t>
      </w:r>
    </w:p>
    <w:p w:rsidR="00ED3CB1" w:rsidRDefault="00ED3CB1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Článek VII</w:t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Kvalita</w:t>
      </w:r>
    </w:p>
    <w:p w:rsidR="00ED3CB1" w:rsidRDefault="00ED3CB1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 w:cs="Arial"/>
          <w:b/>
          <w:bCs/>
          <w:sz w:val="22"/>
          <w:szCs w:val="22"/>
        </w:rPr>
      </w:pPr>
    </w:p>
    <w:p w:rsidR="00ED3CB1" w:rsidRDefault="00D858CF">
      <w:pPr>
        <w:tabs>
          <w:tab w:val="left" w:pos="284"/>
        </w:tabs>
        <w:ind w:right="613"/>
      </w:pPr>
      <w:r>
        <w:rPr>
          <w:rStyle w:val="ListParagraphChar"/>
          <w:rFonts w:ascii="SansationUN" w:hAnsi="SansationUN" w:cs="Arial"/>
          <w:sz w:val="22"/>
          <w:szCs w:val="22"/>
        </w:rPr>
        <w:t>TeamCity</w:t>
      </w:r>
      <w:r w:rsidR="005552B5">
        <w:rPr>
          <w:rStyle w:val="ListParagraphChar"/>
          <w:rFonts w:ascii="SansationUN" w:hAnsi="SansationUN" w:cs="Arial"/>
          <w:sz w:val="22"/>
          <w:szCs w:val="22"/>
        </w:rPr>
        <w:t xml:space="preserve"> je povinen dodržet parametry kvality Pasivní infrastruktury tak, jak je pops</w:t>
      </w:r>
      <w:r w:rsidR="005552B5">
        <w:rPr>
          <w:rStyle w:val="ListParagraphChar"/>
          <w:rFonts w:ascii="SansationUN" w:hAnsi="SansationUN" w:cs="Arial"/>
          <w:sz w:val="22"/>
          <w:szCs w:val="22"/>
        </w:rPr>
        <w:t>áno v Příloze č. 4  - Minimální soubor SLA Smlouvy.</w:t>
      </w:r>
      <w:r w:rsidR="005552B5">
        <w:rPr>
          <w:rStyle w:val="ListParagraphChar"/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ListParagraphChar"/>
          <w:rFonts w:ascii="SansationUN" w:hAnsi="SansationUN" w:cs="Arial"/>
          <w:sz w:val="22"/>
          <w:szCs w:val="22"/>
        </w:rPr>
        <w:br/>
        <w:t xml:space="preserve">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VIII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</w:p>
    <w:p w:rsidR="00ED3CB1" w:rsidRDefault="005552B5">
      <w:pPr>
        <w:pStyle w:val="ListParagraph"/>
        <w:numPr>
          <w:ilvl w:val="0"/>
          <w:numId w:val="4"/>
        </w:numPr>
        <w:ind w:right="613"/>
      </w:pPr>
      <w:r>
        <w:rPr>
          <w:rFonts w:ascii="SansationUN" w:hAnsi="SansationUN" w:cs="Arial"/>
          <w:sz w:val="22"/>
          <w:szCs w:val="22"/>
        </w:rPr>
        <w:t xml:space="preserve">Přesné </w:t>
      </w:r>
      <w:r>
        <w:rPr>
          <w:rStyle w:val="gmail-notranslate"/>
          <w:rFonts w:ascii="SansationUN" w:hAnsi="SansationUN"/>
        </w:rPr>
        <w:t>umístění</w:t>
      </w:r>
      <w:r>
        <w:rPr>
          <w:rFonts w:ascii="SansationUN" w:hAnsi="SansationUN" w:cs="Arial"/>
          <w:sz w:val="22"/>
          <w:szCs w:val="22"/>
        </w:rPr>
        <w:t xml:space="preserve"> přístupových bodů 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GPS :      ……………………………………..................................</w:t>
      </w:r>
    </w:p>
    <w:p w:rsidR="00ED3CB1" w:rsidRDefault="005552B5">
      <w:pPr>
        <w:pStyle w:val="ListParagraph"/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>Adresa :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         </w:t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</w:t>
      </w:r>
      <w:r>
        <w:rPr>
          <w:rFonts w:ascii="SansationUN" w:hAnsi="SansationUN" w:cs="Arial"/>
          <w:sz w:val="22"/>
          <w:szCs w:val="22"/>
        </w:rPr>
        <w:t xml:space="preserve">              …………………………………………............................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</w:t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Technické podmínky přístupu, specifikace zařízení a rozhraní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lastRenderedPageBreak/>
        <w:t>Síťová hierarchie přístupu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 Podmínky  společného umisťování (kolokace)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5552B5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Zakreslená datová trasa :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ED3CB1" w:rsidRDefault="00ED3CB1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ED3CB1" w:rsidRDefault="00ED3CB1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ED3CB1" w:rsidRDefault="00ED3CB1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ED3CB1" w:rsidRDefault="00ED3CB1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ED3CB1" w:rsidRDefault="00ED3CB1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ED3CB1" w:rsidRDefault="005552B5">
      <w:p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za </w:t>
      </w:r>
      <w:r w:rsidR="00D858CF">
        <w:rPr>
          <w:rStyle w:val="ListParagraphChar"/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  <w:t>za Partnera :</w:t>
      </w:r>
      <w:r>
        <w:rPr>
          <w:rFonts w:ascii="SansationUN" w:hAnsi="SansationUN" w:cs="Arial"/>
          <w:sz w:val="22"/>
          <w:szCs w:val="22"/>
        </w:rPr>
        <w:br/>
      </w:r>
    </w:p>
    <w:sectPr w:rsidR="00ED3C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2B5" w:rsidRDefault="005552B5">
      <w:r>
        <w:separator/>
      </w:r>
    </w:p>
  </w:endnote>
  <w:endnote w:type="continuationSeparator" w:id="0">
    <w:p w:rsidR="005552B5" w:rsidRDefault="0055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ationUN">
    <w:altName w:val="Times New Roman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CB1" w:rsidRDefault="00ED3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050794"/>
      <w:docPartObj>
        <w:docPartGallery w:val="Page Numbers (Bottom of Page)"/>
        <w:docPartUnique/>
      </w:docPartObj>
    </w:sdtPr>
    <w:sdtEndPr/>
    <w:sdtContent>
      <w:p w:rsidR="00ED3CB1" w:rsidRDefault="00ED3CB1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ED3CB1" w:rsidRDefault="005552B5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 w:rsidR="00D858CF">
          <w:rPr>
            <w:rFonts w:ascii="Bookman Old Style" w:hAnsi="Bookman Old Style"/>
            <w:noProof/>
            <w:sz w:val="16"/>
            <w:szCs w:val="16"/>
          </w:rPr>
          <w:t>1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ED3CB1" w:rsidRDefault="005552B5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ED3CB1" w:rsidRDefault="00ED3CB1">
    <w:pPr>
      <w:pStyle w:val="Footer"/>
    </w:pPr>
  </w:p>
  <w:p w:rsidR="00ED3CB1" w:rsidRDefault="00ED3CB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4602936"/>
      <w:docPartObj>
        <w:docPartGallery w:val="Page Numbers (Bottom of Page)"/>
        <w:docPartUnique/>
      </w:docPartObj>
    </w:sdtPr>
    <w:sdtEndPr/>
    <w:sdtContent>
      <w:p w:rsidR="00ED3CB1" w:rsidRDefault="00ED3CB1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ED3CB1" w:rsidRDefault="005552B5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>
          <w:rPr>
            <w:rFonts w:ascii="Bookman Old Style" w:hAnsi="Bookman Old Style"/>
            <w:sz w:val="16"/>
            <w:szCs w:val="16"/>
          </w:rPr>
          <w:t>4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ED3CB1" w:rsidRDefault="005552B5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ED3CB1" w:rsidRDefault="00ED3CB1">
    <w:pPr>
      <w:pStyle w:val="Footer"/>
    </w:pPr>
  </w:p>
  <w:p w:rsidR="00ED3CB1" w:rsidRDefault="00ED3CB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2B5" w:rsidRDefault="005552B5">
      <w:r>
        <w:separator/>
      </w:r>
    </w:p>
  </w:footnote>
  <w:footnote w:type="continuationSeparator" w:id="0">
    <w:p w:rsidR="005552B5" w:rsidRDefault="00555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CB1" w:rsidRDefault="00D858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" name="AutoShape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93492" id="AutoShape 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5552B5">
      <w:pict>
        <v:shape id="PowerPlusWaterMarkObject814892282" o:spid="_x0000_s2049" style="position:absolute;margin-left:0;margin-top:0;width:456.7pt;height:203.55pt;rotation:315;z-index:251658240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CB1" w:rsidRDefault="005552B5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</w:t>
    </w:r>
    <w:r>
      <w:rPr>
        <w:rFonts w:ascii="SansationUN" w:hAnsi="SansationUN"/>
        <w:sz w:val="16"/>
        <w:szCs w:val="16"/>
      </w:rPr>
      <w:t>č. 1d - Přístup k datovému toku (Bitstream)</w:t>
    </w:r>
  </w:p>
  <w:p w:rsidR="00ED3CB1" w:rsidRDefault="00ED3CB1">
    <w:pPr>
      <w:pStyle w:val="Header"/>
      <w:rPr>
        <w:rFonts w:ascii="SansationUN" w:hAnsi="SansationUN"/>
      </w:rPr>
    </w:pPr>
  </w:p>
  <w:p w:rsidR="00ED3CB1" w:rsidRDefault="00ED3CB1">
    <w:pPr>
      <w:rPr>
        <w:rFonts w:ascii="SansationUN" w:hAnsi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CB1" w:rsidRDefault="005552B5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>Příloha č. 1d - Přístup k datovému toku (Bitstream)</w:t>
    </w:r>
  </w:p>
  <w:p w:rsidR="00ED3CB1" w:rsidRDefault="00ED3CB1">
    <w:pPr>
      <w:pStyle w:val="Header"/>
      <w:rPr>
        <w:rFonts w:ascii="SansationUN" w:hAnsi="SansationUN"/>
      </w:rPr>
    </w:pPr>
  </w:p>
  <w:p w:rsidR="00ED3CB1" w:rsidRDefault="00ED3CB1">
    <w:pPr>
      <w:rPr>
        <w:rFonts w:ascii="SansationUN" w:hAnsi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4E62"/>
    <w:multiLevelType w:val="multilevel"/>
    <w:tmpl w:val="B7B07352"/>
    <w:lvl w:ilvl="0">
      <w:start w:val="1"/>
      <w:numFmt w:val="decimal"/>
      <w:pStyle w:val="CETINNadpis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cs="Arial"/>
        <w:b/>
        <w:i w:val="0"/>
        <w:caps/>
        <w:strike w:val="0"/>
        <w:dstrike w:val="0"/>
        <w:vanish w:val="0"/>
        <w:color w:val="7030A0"/>
        <w:position w:val="0"/>
        <w:sz w:val="28"/>
        <w:szCs w:val="28"/>
        <w:vertAlign w:val="baseline"/>
      </w:rPr>
    </w:lvl>
    <w:lvl w:ilvl="1">
      <w:start w:val="1"/>
      <w:numFmt w:val="decimal"/>
      <w:pStyle w:val="CETINTextlnku"/>
      <w:lvlText w:val="%1.%2"/>
      <w:lvlJc w:val="left"/>
      <w:pPr>
        <w:tabs>
          <w:tab w:val="num" w:pos="1163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1418" w:hanging="709"/>
      </w:pPr>
      <w:rPr>
        <w:rFonts w:ascii="Arial" w:hAnsi="Arial" w:cs="Arial"/>
        <w:b w:val="0"/>
      </w:rPr>
    </w:lvl>
    <w:lvl w:ilvl="3">
      <w:start w:val="1"/>
      <w:numFmt w:val="lowerLetter"/>
      <w:lvlText w:val="%4)"/>
      <w:lvlJc w:val="left"/>
      <w:pPr>
        <w:tabs>
          <w:tab w:val="num" w:pos="3062"/>
        </w:tabs>
        <w:ind w:left="1843" w:hanging="425"/>
      </w:pPr>
    </w:lvl>
    <w:lvl w:ilvl="4">
      <w:start w:val="1"/>
      <w:numFmt w:val="lowerRoman"/>
      <w:lvlText w:val="%5)"/>
      <w:lvlJc w:val="left"/>
      <w:pPr>
        <w:tabs>
          <w:tab w:val="num" w:pos="3799"/>
        </w:tabs>
        <w:ind w:left="2268" w:hanging="425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177C2100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763103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409490B"/>
    <w:multiLevelType w:val="multilevel"/>
    <w:tmpl w:val="FA0C2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4EE31B1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B1"/>
    <w:rsid w:val="005552B5"/>
    <w:rsid w:val="00D858CF"/>
    <w:rsid w:val="00ED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1A55AF"/>
  <w15:docId w15:val="{D9715FC8-8F81-4955-B0CF-7F059F58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4D"/>
    <w:rPr>
      <w:rFonts w:ascii="Times New Roman" w:hAnsi="Times New Roman" w:cs="Times New Roman"/>
      <w:sz w:val="24"/>
      <w:szCs w:val="24"/>
      <w:lang w:eastAsia="cs-CZ"/>
    </w:rPr>
  </w:style>
  <w:style w:type="paragraph" w:styleId="Heading9">
    <w:name w:val="heading 9"/>
    <w:basedOn w:val="Normal"/>
    <w:link w:val="Heading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ovodkaz">
    <w:name w:val="Internetový odkaz"/>
    <w:basedOn w:val="DefaultParagraphFont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DefaultParagraphFont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DefaultParagraphFont"/>
    <w:qFormat/>
    <w:rsid w:val="009016E3"/>
  </w:style>
  <w:style w:type="character" w:customStyle="1" w:styleId="CETINTextlnkuChar">
    <w:name w:val="CETIN Text článku Char"/>
    <w:basedOn w:val="DefaultParagraphFont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04A5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DefaultParagraphFont"/>
    <w:qFormat/>
    <w:rsid w:val="001810B5"/>
  </w:style>
  <w:style w:type="character" w:customStyle="1" w:styleId="HeaderChar">
    <w:name w:val="Header Char"/>
    <w:basedOn w:val="DefaultParagraphFont"/>
    <w:link w:val="Head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9016E3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al"/>
    <w:link w:val="CETINTextlnkuChar"/>
    <w:qFormat/>
    <w:rsid w:val="00072472"/>
    <w:pPr>
      <w:numPr>
        <w:ilvl w:val="1"/>
        <w:numId w:val="1"/>
      </w:num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TOC1"/>
    <w:link w:val="CETINNadpisChar"/>
    <w:qFormat/>
    <w:rsid w:val="00072472"/>
    <w:pPr>
      <w:keepNext/>
      <w:numPr>
        <w:numId w:val="1"/>
      </w:numPr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472"/>
    <w:pPr>
      <w:spacing w:after="10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04A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04A5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D06A644F6B74FB0A4ABB74416BDF8" ma:contentTypeVersion="8" ma:contentTypeDescription="Vytvoří nový dokument" ma:contentTypeScope="" ma:versionID="d32ab7e6f8d7ad09b1f57ccfcafdc355">
  <xsd:schema xmlns:xsd="http://www.w3.org/2001/XMLSchema" xmlns:xs="http://www.w3.org/2001/XMLSchema" xmlns:p="http://schemas.microsoft.com/office/2006/metadata/properties" xmlns:ns2="e044b165-2cc0-417f-920c-43991c25b34e" targetNamespace="http://schemas.microsoft.com/office/2006/metadata/properties" ma:root="true" ma:fieldsID="68702a1a2508fa4f943a0d47a3ab5831" ns2:_="">
    <xsd:import namespace="e044b165-2cc0-417f-920c-43991c25b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4b165-2cc0-417f-920c-43991c25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AD89F-B44D-4B9F-9D18-44C133F27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4b165-2cc0-417f-920c-43991c25b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45C6B-933B-4FD7-90F7-8BA9EAE84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0299E-854D-478F-81BA-5116A89D0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B739F8-B97C-42DF-92EA-809574CF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Kirman</dc:creator>
  <dc:description/>
  <cp:lastModifiedBy>Štěpán Kirman</cp:lastModifiedBy>
  <cp:revision>2</cp:revision>
  <dcterms:created xsi:type="dcterms:W3CDTF">2022-08-21T09:24:00Z</dcterms:created>
  <dcterms:modified xsi:type="dcterms:W3CDTF">2022-08-21T09:24:00Z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